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584" w:rsidRDefault="00E47584" w:rsidP="002D527E">
      <w:pPr>
        <w:spacing w:after="0"/>
        <w:rPr>
          <w:b/>
          <w:sz w:val="16"/>
          <w:szCs w:val="16"/>
        </w:rPr>
      </w:pPr>
    </w:p>
    <w:p w:rsidR="002D527E" w:rsidRDefault="002D527E" w:rsidP="002D527E">
      <w:pPr>
        <w:spacing w:after="0"/>
      </w:pPr>
      <w:r w:rsidRPr="002D527E">
        <w:rPr>
          <w:b/>
        </w:rPr>
        <w:t>Purpose of the SRC</w:t>
      </w:r>
      <w:r>
        <w:t xml:space="preserve"> – The Council shall, after consulting with the State workforce development board:  </w:t>
      </w:r>
    </w:p>
    <w:p w:rsidR="002D527E" w:rsidRDefault="002D527E" w:rsidP="00E47584">
      <w:pPr>
        <w:pStyle w:val="NoSpacing"/>
        <w:ind w:left="720" w:hanging="360"/>
        <w:jc w:val="both"/>
      </w:pPr>
      <w:r>
        <w:t>A.</w:t>
      </w:r>
      <w:r w:rsidR="00E47584">
        <w:tab/>
      </w:r>
      <w:r>
        <w:t xml:space="preserve"> review, analyzes, and advise the designated State unit regarding the performance of the responsibilities of the unit under this title, particularly responsibilities relating to:  </w:t>
      </w:r>
    </w:p>
    <w:p w:rsidR="002D527E" w:rsidRDefault="002D527E" w:rsidP="00E47584">
      <w:pPr>
        <w:pStyle w:val="NoSpacing"/>
        <w:ind w:left="720"/>
        <w:jc w:val="both"/>
      </w:pPr>
      <w:r>
        <w:t>1.  the eligibility (including order of selection);</w:t>
      </w:r>
    </w:p>
    <w:p w:rsidR="002D527E" w:rsidRDefault="002D527E" w:rsidP="00E47584">
      <w:pPr>
        <w:pStyle w:val="NoSpacing"/>
        <w:ind w:left="720"/>
        <w:jc w:val="both"/>
      </w:pPr>
      <w:r>
        <w:t>2.  the extent, scope, and effectiveness of services provided; and</w:t>
      </w:r>
    </w:p>
    <w:p w:rsidR="002D527E" w:rsidRDefault="002D527E" w:rsidP="00E47584">
      <w:pPr>
        <w:pStyle w:val="NoSpacing"/>
        <w:ind w:left="720"/>
        <w:jc w:val="both"/>
      </w:pPr>
      <w:r>
        <w:t xml:space="preserve">3. </w:t>
      </w:r>
      <w:proofErr w:type="gramStart"/>
      <w:r w:rsidR="00E47584">
        <w:t>functions</w:t>
      </w:r>
      <w:proofErr w:type="gramEnd"/>
      <w:r>
        <w:t xml:space="preserve"> performed by State agencies that affect or that potentially affect the ability of individuals with disabilities in achieving employment outcomes under this title;</w:t>
      </w:r>
    </w:p>
    <w:p w:rsidR="002D527E" w:rsidRDefault="002D527E" w:rsidP="00E47584">
      <w:pPr>
        <w:pStyle w:val="NoSpacing"/>
        <w:ind w:left="720" w:hanging="360"/>
        <w:jc w:val="both"/>
      </w:pPr>
    </w:p>
    <w:p w:rsidR="002D527E" w:rsidRDefault="002D527E" w:rsidP="00E47584">
      <w:pPr>
        <w:pStyle w:val="NoSpacing"/>
        <w:ind w:left="720" w:hanging="360"/>
        <w:jc w:val="both"/>
      </w:pPr>
      <w:r>
        <w:t>B.</w:t>
      </w:r>
      <w:r w:rsidR="00E47584">
        <w:tab/>
      </w:r>
      <w:r>
        <w:t> in partnership with the designated State unit—</w:t>
      </w:r>
      <w:r>
        <w:tab/>
        <w:t xml:space="preserve">        </w:t>
      </w:r>
    </w:p>
    <w:p w:rsidR="002D527E" w:rsidRDefault="002D527E" w:rsidP="00E47584">
      <w:pPr>
        <w:pStyle w:val="NoSpacing"/>
        <w:ind w:left="720"/>
        <w:jc w:val="both"/>
      </w:pPr>
      <w:r>
        <w:t xml:space="preserve">1. </w:t>
      </w:r>
      <w:proofErr w:type="gramStart"/>
      <w:r>
        <w:t>develop</w:t>
      </w:r>
      <w:proofErr w:type="gramEnd"/>
      <w:r>
        <w:t>, agree to, and review State Plan goals and priorities in accordance with section 101(a) (15</w:t>
      </w:r>
      <w:r w:rsidR="00E47584">
        <w:t>) (</w:t>
      </w:r>
      <w:r>
        <w:t>C); and;</w:t>
      </w:r>
    </w:p>
    <w:p w:rsidR="002D527E" w:rsidRDefault="002D527E" w:rsidP="00E47584">
      <w:pPr>
        <w:pStyle w:val="NoSpacing"/>
        <w:ind w:left="720"/>
        <w:jc w:val="both"/>
      </w:pPr>
      <w:r>
        <w:t xml:space="preserve">2. Evaluate the effectiveness of the vocational rehabilitation program and submit reports of progress to the Commissioner in accordance with section 101(a) (15) (E); </w:t>
      </w:r>
    </w:p>
    <w:p w:rsidR="002D527E" w:rsidRDefault="002D527E" w:rsidP="00E47584">
      <w:pPr>
        <w:pStyle w:val="NoSpacing"/>
        <w:ind w:hanging="360"/>
        <w:jc w:val="both"/>
      </w:pPr>
    </w:p>
    <w:p w:rsidR="002D527E" w:rsidRDefault="002D527E" w:rsidP="00E47584">
      <w:pPr>
        <w:pStyle w:val="NoSpacing"/>
        <w:ind w:left="720" w:hanging="360"/>
        <w:jc w:val="both"/>
      </w:pPr>
      <w:r>
        <w:t>C.</w:t>
      </w:r>
      <w:r w:rsidR="00E47584">
        <w:tab/>
      </w:r>
      <w:r>
        <w:t>advise the designated State agency and the designated State unit regarding activities authorized to be carried out under this title, and assist in the preparation of the Office of Vocational Rehabilitation/Office of Vocational Rehabilitation for the Blind (OVR/OVRB) services portion of the Combined State plan and amendments to the plan, applications, reports, needs assessments, and evaluations required by this title;</w:t>
      </w:r>
    </w:p>
    <w:p w:rsidR="002D527E" w:rsidRDefault="002D527E" w:rsidP="00E47584">
      <w:pPr>
        <w:pStyle w:val="NoSpacing"/>
        <w:ind w:left="720" w:hanging="360"/>
        <w:jc w:val="both"/>
      </w:pPr>
    </w:p>
    <w:p w:rsidR="002D527E" w:rsidRDefault="002D527E" w:rsidP="00E47584">
      <w:pPr>
        <w:pStyle w:val="NoSpacing"/>
        <w:ind w:left="720" w:hanging="360"/>
        <w:jc w:val="both"/>
      </w:pPr>
      <w:r>
        <w:t>D.</w:t>
      </w:r>
      <w:r w:rsidR="00E47584">
        <w:tab/>
      </w:r>
      <w:r>
        <w:t xml:space="preserve"> </w:t>
      </w:r>
      <w:bookmarkStart w:id="0" w:name="_GoBack"/>
      <w:r>
        <w:t xml:space="preserve">to the extent feasible, conduct a review and analysis of the effectiveness of, and consumer satisfaction with the: </w:t>
      </w:r>
    </w:p>
    <w:p w:rsidR="002D527E" w:rsidRDefault="002D527E" w:rsidP="00E47584">
      <w:pPr>
        <w:pStyle w:val="NoSpacing"/>
        <w:ind w:left="720"/>
        <w:jc w:val="both"/>
      </w:pPr>
      <w:r>
        <w:t>1. functions performed by the designated State agency;</w:t>
      </w:r>
    </w:p>
    <w:p w:rsidR="002D527E" w:rsidRDefault="002D527E" w:rsidP="00E47584">
      <w:pPr>
        <w:pStyle w:val="NoSpacing"/>
        <w:ind w:left="720"/>
        <w:jc w:val="both"/>
      </w:pPr>
      <w:r>
        <w:t>2. vocational rehabilitation services provided by State agencies and other public and private entities responsible for providing vocational rehabilitation services to individuals with disabilities under this Act; and</w:t>
      </w:r>
    </w:p>
    <w:p w:rsidR="002D527E" w:rsidRDefault="002D527E" w:rsidP="00E47584">
      <w:pPr>
        <w:pStyle w:val="NoSpacing"/>
        <w:ind w:left="720"/>
        <w:jc w:val="both"/>
      </w:pPr>
      <w:r>
        <w:t>3. employment outcomes achieved by eligible individuals receiving services under this title, including the availability of health and other employment benefits in connection with such employment outcomes;</w:t>
      </w:r>
    </w:p>
    <w:bookmarkEnd w:id="0"/>
    <w:p w:rsidR="002D527E" w:rsidRDefault="002D527E" w:rsidP="00E47584">
      <w:pPr>
        <w:pStyle w:val="NoSpacing"/>
        <w:ind w:left="720" w:hanging="360"/>
        <w:jc w:val="both"/>
      </w:pPr>
    </w:p>
    <w:p w:rsidR="002D527E" w:rsidRDefault="002D527E" w:rsidP="00E47584">
      <w:pPr>
        <w:pStyle w:val="NoSpacing"/>
        <w:ind w:left="720" w:hanging="360"/>
        <w:jc w:val="both"/>
      </w:pPr>
      <w:r>
        <w:t>E.</w:t>
      </w:r>
      <w:r w:rsidR="00E47584">
        <w:tab/>
      </w:r>
      <w:r>
        <w:t>prepare and submit an annual report no later than 90 days from the end of the  program year to the Governor and the Commissioner of the Rehabilitation Services Administration on the status of vocational rehabilitation programs operated within the State, and make the report available to the public through appropriate modes of communication;</w:t>
      </w:r>
    </w:p>
    <w:p w:rsidR="002D527E" w:rsidRDefault="002D527E" w:rsidP="00E47584">
      <w:pPr>
        <w:pStyle w:val="NoSpacing"/>
        <w:ind w:left="720" w:hanging="360"/>
        <w:jc w:val="both"/>
      </w:pPr>
    </w:p>
    <w:p w:rsidR="002D527E" w:rsidRDefault="002D527E" w:rsidP="00E47584">
      <w:pPr>
        <w:pStyle w:val="NoSpacing"/>
        <w:ind w:left="720" w:hanging="360"/>
        <w:jc w:val="both"/>
      </w:pPr>
      <w:r>
        <w:t xml:space="preserve">F. </w:t>
      </w:r>
      <w:r w:rsidR="00E47584">
        <w:tab/>
      </w:r>
      <w:r>
        <w:t xml:space="preserve">to avoid duplication of efforts and enhance the number of individuals served, coordinate activities with the activities of other councils within the State, including the Statewide Independent Living Council established under section 705, the advisory panel established under section 612(a)(21) of the Individuals with Disabilities Education Act (as amended by section 101 of the Individuals with Disability Education Act Amendments of 1997; Public Law 105-17), the State Developmental Disabilities Council established under section 124 of the Developmental Disabilities Assistance and Bill of Rights  (42 U.S.C. 6024) the State mental health planning council established under section 1914(a) of the Public Health Service Act (42 U.S.C. 300x 3(a)), and the State workforce development </w:t>
      </w:r>
      <w:proofErr w:type="gramStart"/>
      <w:r>
        <w:t>board</w:t>
      </w:r>
      <w:proofErr w:type="gramEnd"/>
      <w:r>
        <w:t xml:space="preserve"> and with the activities of entities carrying out the programs under the Assistive Technology Act of 1998 (</w:t>
      </w:r>
      <w:r w:rsidRPr="00105621">
        <w:t>29 U.S.C. 3001</w:t>
      </w:r>
      <w:r w:rsidRPr="00E77626">
        <w:rPr>
          <w:i/>
        </w:rPr>
        <w:t xml:space="preserve"> et seq.);</w:t>
      </w:r>
    </w:p>
    <w:p w:rsidR="002D527E" w:rsidRDefault="002D527E" w:rsidP="00E47584">
      <w:pPr>
        <w:pStyle w:val="NoSpacing"/>
        <w:ind w:left="720" w:hanging="360"/>
        <w:jc w:val="both"/>
      </w:pPr>
    </w:p>
    <w:p w:rsidR="002D527E" w:rsidRDefault="002D527E" w:rsidP="00E47584">
      <w:pPr>
        <w:pStyle w:val="NoSpacing"/>
        <w:ind w:left="720" w:hanging="360"/>
        <w:jc w:val="both"/>
      </w:pPr>
      <w:r>
        <w:t>G.   provide for coordination and the establishment of working relationships between the designated State agency and the Statewide Independent Living Council and centers for independent living within the State; and</w:t>
      </w:r>
    </w:p>
    <w:p w:rsidR="002D527E" w:rsidRDefault="002D527E" w:rsidP="00E47584">
      <w:pPr>
        <w:pStyle w:val="NoSpacing"/>
        <w:ind w:left="720" w:hanging="360"/>
        <w:jc w:val="both"/>
      </w:pPr>
    </w:p>
    <w:p w:rsidR="00F66021" w:rsidRPr="00877EBC" w:rsidRDefault="002D527E" w:rsidP="00E47584">
      <w:pPr>
        <w:pStyle w:val="NoSpacing"/>
        <w:ind w:left="720" w:hanging="360"/>
        <w:jc w:val="both"/>
      </w:pPr>
      <w:r>
        <w:t>H.  perform such other functions, consistent with the purpose of this title, as the State Rehabilitation Council determines to be appropriate, that are comparable to the other functions performed by the Council.</w:t>
      </w:r>
    </w:p>
    <w:sectPr w:rsidR="00F66021" w:rsidRPr="00877EBC" w:rsidSect="00ED52A6">
      <w:headerReference w:type="default" r:id="rId8"/>
      <w:footerReference w:type="default" r:id="rId9"/>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3E1" w:rsidRDefault="00C503E1" w:rsidP="00C503E1">
      <w:pPr>
        <w:spacing w:after="0" w:line="240" w:lineRule="auto"/>
      </w:pPr>
      <w:r>
        <w:separator/>
      </w:r>
    </w:p>
  </w:endnote>
  <w:endnote w:type="continuationSeparator" w:id="0">
    <w:p w:rsidR="00C503E1" w:rsidRDefault="00C503E1" w:rsidP="00C5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3E1" w:rsidRPr="00BE0DFF" w:rsidRDefault="00C503E1" w:rsidP="00ED52A6">
    <w:pPr>
      <w:pStyle w:val="Footer"/>
      <w:pBdr>
        <w:top w:val="thinThickSmallGap" w:sz="24" w:space="7" w:color="622423" w:themeColor="accent2" w:themeShade="7F"/>
      </w:pBdr>
      <w:jc w:val="center"/>
      <w:rPr>
        <w:rFonts w:ascii="Times New Roman" w:eastAsiaTheme="majorEastAsia" w:hAnsi="Times New Roman" w:cs="Times New Roman"/>
        <w:sz w:val="18"/>
        <w:szCs w:val="18"/>
      </w:rPr>
    </w:pPr>
    <w:r w:rsidRPr="00BE0DFF">
      <w:rPr>
        <w:rFonts w:ascii="Times New Roman" w:eastAsiaTheme="majorEastAsia" w:hAnsi="Times New Roman" w:cs="Times New Roman"/>
        <w:sz w:val="18"/>
        <w:szCs w:val="18"/>
      </w:rPr>
      <w:t xml:space="preserve">1281 Highway 51  Madison, MS 39110 </w:t>
    </w:r>
    <w:r w:rsidRPr="00BE0DFF">
      <w:rPr>
        <w:rFonts w:ascii="Times New Roman" w:eastAsiaTheme="majorEastAsia" w:hAnsi="Times New Roman" w:cs="Times New Roman"/>
        <w:b/>
        <w:sz w:val="18"/>
        <w:szCs w:val="18"/>
      </w:rPr>
      <w:t>∙</w:t>
    </w:r>
    <w:r w:rsidRPr="00BE0DFF">
      <w:rPr>
        <w:rFonts w:ascii="Times New Roman" w:eastAsiaTheme="majorEastAsia" w:hAnsi="Times New Roman" w:cs="Times New Roman"/>
        <w:sz w:val="18"/>
        <w:szCs w:val="18"/>
      </w:rPr>
      <w:t xml:space="preserve"> Post Office Box 1698  Jackson, MS 39215-1698 </w:t>
    </w:r>
    <w:r w:rsidRPr="00BE0DFF">
      <w:rPr>
        <w:rFonts w:ascii="Times New Roman" w:eastAsiaTheme="majorEastAsia" w:hAnsi="Times New Roman" w:cs="Times New Roman"/>
        <w:b/>
        <w:sz w:val="18"/>
        <w:szCs w:val="18"/>
      </w:rPr>
      <w:t>∙</w:t>
    </w:r>
    <w:r w:rsidRPr="00BE0DFF">
      <w:rPr>
        <w:rFonts w:ascii="Times New Roman" w:eastAsiaTheme="majorEastAsia" w:hAnsi="Times New Roman" w:cs="Times New Roman"/>
        <w:sz w:val="18"/>
        <w:szCs w:val="18"/>
      </w:rPr>
      <w:t xml:space="preserve"> (601)853-5100 Voice or TDD</w:t>
    </w:r>
  </w:p>
  <w:p w:rsidR="00C503E1" w:rsidRDefault="00C50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3E1" w:rsidRDefault="00C503E1" w:rsidP="00C503E1">
      <w:pPr>
        <w:spacing w:after="0" w:line="240" w:lineRule="auto"/>
      </w:pPr>
      <w:r>
        <w:separator/>
      </w:r>
    </w:p>
  </w:footnote>
  <w:footnote w:type="continuationSeparator" w:id="0">
    <w:p w:rsidR="00C503E1" w:rsidRDefault="00C503E1" w:rsidP="00C50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3E1" w:rsidRPr="00ED52A6" w:rsidRDefault="00900FD0" w:rsidP="00C503E1">
    <w:pPr>
      <w:pStyle w:val="Header"/>
      <w:jc w:val="center"/>
    </w:pPr>
    <w:r>
      <w:rPr>
        <w:noProof/>
      </w:rPr>
      <w:drawing>
        <wp:inline distT="0" distB="0" distL="0" distR="0">
          <wp:extent cx="3906982" cy="610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RSStateRehab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8663" cy="6112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0669F"/>
    <w:multiLevelType w:val="hybridMultilevel"/>
    <w:tmpl w:val="7434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E1"/>
    <w:rsid w:val="0026480B"/>
    <w:rsid w:val="002D527E"/>
    <w:rsid w:val="00627C48"/>
    <w:rsid w:val="00877EBC"/>
    <w:rsid w:val="00900FD0"/>
    <w:rsid w:val="00BE0DFF"/>
    <w:rsid w:val="00C503E1"/>
    <w:rsid w:val="00E47584"/>
    <w:rsid w:val="00E919DB"/>
    <w:rsid w:val="00ED52A6"/>
    <w:rsid w:val="00F6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45FC02"/>
  <w15:docId w15:val="{2DDF0406-39D8-4566-AE2E-72944218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3E1"/>
    <w:rPr>
      <w:rFonts w:ascii="Tahoma" w:hAnsi="Tahoma" w:cs="Tahoma"/>
      <w:sz w:val="16"/>
      <w:szCs w:val="16"/>
    </w:rPr>
  </w:style>
  <w:style w:type="paragraph" w:styleId="Header">
    <w:name w:val="header"/>
    <w:basedOn w:val="Normal"/>
    <w:link w:val="HeaderChar"/>
    <w:uiPriority w:val="99"/>
    <w:unhideWhenUsed/>
    <w:rsid w:val="00C50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3E1"/>
  </w:style>
  <w:style w:type="paragraph" w:styleId="Footer">
    <w:name w:val="footer"/>
    <w:basedOn w:val="Normal"/>
    <w:link w:val="FooterChar"/>
    <w:uiPriority w:val="99"/>
    <w:unhideWhenUsed/>
    <w:rsid w:val="00C50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3E1"/>
  </w:style>
  <w:style w:type="paragraph" w:styleId="ListParagraph">
    <w:name w:val="List Paragraph"/>
    <w:basedOn w:val="Normal"/>
    <w:uiPriority w:val="34"/>
    <w:qFormat/>
    <w:rsid w:val="002D527E"/>
    <w:pPr>
      <w:spacing w:after="160" w:line="259" w:lineRule="auto"/>
      <w:ind w:left="720"/>
      <w:contextualSpacing/>
    </w:pPr>
  </w:style>
  <w:style w:type="paragraph" w:styleId="NoSpacing">
    <w:name w:val="No Spacing"/>
    <w:uiPriority w:val="1"/>
    <w:qFormat/>
    <w:rsid w:val="002D52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7A18C75272094D8D986629E231ABD8" ma:contentTypeVersion="6" ma:contentTypeDescription="Create a new document." ma:contentTypeScope="" ma:versionID="b1519f41eb25f2534fdc44be2490f549">
  <xsd:schema xmlns:xsd="http://www.w3.org/2001/XMLSchema" xmlns:xs="http://www.w3.org/2001/XMLSchema" xmlns:p="http://schemas.microsoft.com/office/2006/metadata/properties" xmlns:ns1="http://schemas.microsoft.com/sharepoint/v3" targetNamespace="http://schemas.microsoft.com/office/2006/metadata/properties" ma:root="true" ma:fieldsID="0812829854ef8479e4094cdfcedfcde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526626-18B1-4C8B-9D25-F46578CAA52D}"/>
</file>

<file path=customXml/itemProps2.xml><?xml version="1.0" encoding="utf-8"?>
<ds:datastoreItem xmlns:ds="http://schemas.openxmlformats.org/officeDocument/2006/customXml" ds:itemID="{C3A39431-1A9E-43F7-A438-506F6BA131C7}"/>
</file>

<file path=customXml/itemProps3.xml><?xml version="1.0" encoding="utf-8"?>
<ds:datastoreItem xmlns:ds="http://schemas.openxmlformats.org/officeDocument/2006/customXml" ds:itemID="{DE255759-BFB9-4702-A0BA-E9C7BA9033A8}"/>
</file>

<file path=customXml/itemProps4.xml><?xml version="1.0" encoding="utf-8"?>
<ds:datastoreItem xmlns:ds="http://schemas.openxmlformats.org/officeDocument/2006/customXml" ds:itemID="{5656688B-D861-461A-A229-AA9AEB78ECE0}"/>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Betsy Simoneaux</cp:lastModifiedBy>
  <cp:revision>2</cp:revision>
  <cp:lastPrinted>2014-12-19T21:02:00Z</cp:lastPrinted>
  <dcterms:created xsi:type="dcterms:W3CDTF">2020-01-08T13:54:00Z</dcterms:created>
  <dcterms:modified xsi:type="dcterms:W3CDTF">2020-01-08T13:54:00Z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0x0101002A7A18C75272094D8D986629E231ABD8</vt:lpwstr>
  </property>
</Properties>
</file>